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04F01" w:rsidP="2C3A3456" w:rsidRDefault="00D04F01" w14:paraId="3FCAED78" w14:textId="7C192018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="00D04F01">
        <w:drawing>
          <wp:inline wp14:editId="107C253F" wp14:anchorId="0A86B993">
            <wp:extent cx="3050540" cy="1303655"/>
            <wp:effectExtent l="0" t="0" r="0" b="0"/>
            <wp:docPr id="7" name="Slika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lika 6"/>
                    <pic:cNvPicPr/>
                  </pic:nvPicPr>
                  <pic:blipFill>
                    <a:blip r:embed="R7287a53026eb410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5054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01" w:rsidP="2C3A3456" w:rsidRDefault="00D04F01" w14:paraId="6704FB8B" w14:textId="7674DB9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D04F01" w:rsidP="2C3A3456" w:rsidRDefault="00D04F01" w14:paraId="4532F35D" w14:textId="18A469A0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8"/>
          <w:szCs w:val="28"/>
        </w:rPr>
        <w:t>PREPORUKA</w:t>
      </w:r>
    </w:p>
    <w:p w:rsidR="00D04F01" w:rsidP="2C3A3456" w:rsidRDefault="00D04F01" w14:paraId="4EAF17E4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8"/>
          <w:szCs w:val="28"/>
        </w:rPr>
        <w:t>O PROVEDBI ZELENE JAVNE NABAVE 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8"/>
          <w:szCs w:val="28"/>
        </w:rPr>
        <w:t> </w:t>
      </w:r>
    </w:p>
    <w:p w:rsidR="00D04F01" w:rsidP="2C3A3456" w:rsidRDefault="00D04F01" w14:paraId="2E346F41" w14:textId="1A4F455E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Pr="00D04F01" w:rsidR="00D04F01" w:rsidP="2C3A3456" w:rsidRDefault="00D04F01" w14:paraId="2123330E" w14:textId="28240E23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1"/>
          <w:bCs w:val="1"/>
          <w:caps w:val="1"/>
          <w:color w:val="auto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NA KOGA SE PREPORUKA ODNOSI</w:t>
      </w:r>
    </w:p>
    <w:p w:rsidRPr="00D04F01" w:rsidR="00D04F01" w:rsidP="2C3A3456" w:rsidRDefault="00D04F01" w14:paraId="5E6A76DA" w14:textId="368E1B27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Preporuka o provedbi zelene javne nabave odnosi se na obveznike javne nabave, jedinice lokalne i područne (regionalne) samouprave i druga tijela iz njihove nadležnosti, dok je za tijela državne uprave, temeljem točke II. Odluke o provedbi zelene javne nabave (Narodne novine, broj 137/24), provedba zelene javne nabave obveza.</w:t>
      </w:r>
    </w:p>
    <w:p w:rsidR="00D04F01" w:rsidP="2C3A3456" w:rsidRDefault="00D04F01" w14:paraId="4F08963D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Pr="00D04F01" w:rsidR="00D04F01" w:rsidP="2C3A3456" w:rsidRDefault="00D04F01" w14:paraId="5D51DF99" w14:textId="7777777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O ZELENOJ JAVNOJ NABAVI</w:t>
      </w:r>
    </w:p>
    <w:p w:rsidRPr="00D04F01" w:rsidR="00D04F01" w:rsidP="2C3A3456" w:rsidRDefault="00D04F01" w14:paraId="28FBCC39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Zelena javna nabava predstavlja instrument zaštite okoliša kojim se potiče nabava roba, usluga i radova sa smanjenim ekološkim utjecajem tijekom njihova životnog ciklusa.</w:t>
      </w:r>
    </w:p>
    <w:p w:rsidR="00D04F01" w:rsidP="2C3A3456" w:rsidRDefault="00D04F01" w14:paraId="641EFA90" w14:textId="6F2BDC9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Definirana je kao procedura gdje se prilikom postupka javne nabave uzimaju u obzir elementi koji ne štete okolišu i koji uvažavaju okolišne kriterije. Zelena javna nabava je alat za poboljšanje efikasnosti javne nabave dok se u isto vrijeme koristi snaga tržišta da bi se unaprijedile koristi od zdravog okoliša na lokalnoj, nacionalnoj i svjetskoj razini.</w:t>
      </w:r>
    </w:p>
    <w:p w:rsidR="00D04F01" w:rsidP="2C3A3456" w:rsidRDefault="00D04F01" w14:paraId="355E7013" w14:textId="7777777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ZAŠTO PROVODITI ZELENU JAVNU NABAVU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2FE4B71" w14:textId="702E7B5F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Provedbom zelene javne nabave, odnosno kupovinom zelenih proizvoda i usluga javnim sredstvima pridonosi se klimatskim i okolišnim ciljevima te sprječavanju i smanjenju nastanak otpada.</w:t>
      </w:r>
    </w:p>
    <w:p w:rsidR="00D04F01" w:rsidP="2C3A3456" w:rsidRDefault="00D04F01" w14:paraId="70A0ECEA" w14:textId="2DF56BF2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Odabirom proizvoda, usluga i rješenja koja promiču održivost, smanjuje se negativan utjecaj na okoliš i podržava zelena tranzicija.</w:t>
      </w:r>
    </w:p>
    <w:p w:rsidR="00D04F01" w:rsidP="2C3A3456" w:rsidRDefault="00D04F01" w14:paraId="68ADB60F" w14:textId="29CF76D1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Primjenom ključnih ciljeva i mjerila zelene javne nabave, javna nabava postaje moćan alat za promicanje kružnog gospodarstva i poticanje inovacija, istovremeno čineći javni sektor predvodnikom održivih praksi.</w:t>
      </w:r>
    </w:p>
    <w:p w:rsidR="00D04F01" w:rsidP="2C3A3456" w:rsidRDefault="00D04F01" w14:paraId="3193C5FB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Pr="00D04F01" w:rsidR="00D04F01" w:rsidP="2C3A3456" w:rsidRDefault="00D04F01" w14:paraId="0D1F08C6" w14:textId="653A4D60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ZELENA JAVNA NABAVA I ZNAK ZAŠTITE OKOLIŠA eu eCOLABEL</w:t>
      </w:r>
    </w:p>
    <w:p w:rsidR="00D04F01" w:rsidP="2C3A3456" w:rsidRDefault="005A38A3" w14:paraId="6B2E4154" w14:textId="2BF2C0F0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</w:pPr>
      <w:r w:rsidRPr="2C3A3456" w:rsidR="005A38A3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reporuka je gdje je to moguće, mjerila zelene javne nabave, povezivati s mjerilima koja su propisana za znak zaštite okoliša Europske unije - EU Ecolabel.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Službenim znakom zaštite okoliša Europske unije - EU Ecolabel označavanju 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se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„zeleni“ proizvodi i usluge tj. oni koji imaju manje nepovoljan utjecaj na okoliš tijekom životnog ciklusa u odnosu na istovrsne proizvode i usluge. 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vaj znak je 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n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amijenjen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proizvodima koji se stavljaju na tržište EU. Znak EU Ecolabel je dokaz da proizvod ili usluga udovoljavaju visoko propisanim standardima zaštite okoliša. Kroz zelenu javnu nabavu žele se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kupovati upravo proizvodi koji nose oznaku EU Ecolabel ili eko-oznaku istog tipa. Potvrda da proizvod nosi eko-oznaku EU Ecolabel je dokaz da taj proizvod udovoljava mjerilima zelene javne nabave. Stoga u javnim nabavama proizvoda i usluga koje želimo ozeleniti preporučamo koristiti znak zaštite okoliša EU Ecolabel koji ima razvijena mjerila za 25 skupina proizvoda i usluga te su dostupna na hrvatskom jeziku na sljedećoj poveznici: https://environment.ec.europa.eu/topics/circular-economy/eu-ecolabel/product-groups-and-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  <w:u w:val="single"/>
        </w:rPr>
        <w:t xml:space="preserve">criteria_en.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Proizvodi i usluge sa znakom zaštite okoliša EU Ecolabel osim što zadovoljavaju stroge okolišne standarde, smatrati će se sukladni s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Prijedlogom Direktive Europskog Parlamenta i Vijeća o potkrepljivanju i priopćavanju izričitih tvrdnji o prihvatljivosti za okoliš (Direktiva o tvrdnjama o prihvatljivosti za okoliš). </w:t>
      </w:r>
    </w:p>
    <w:p w:rsidR="00D04F01" w:rsidP="2C3A3456" w:rsidRDefault="00D04F01" w14:paraId="7D7C261D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</w:pPr>
    </w:p>
    <w:p w:rsidR="00D04F01" w:rsidP="2C3A3456" w:rsidRDefault="00D04F01" w14:paraId="688D1239" w14:textId="4DA7F762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 xml:space="preserve">PREDMETI NABAVE ILI GRUPA/E PREDMETA NABAVE 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NA KOJE SE OVA PREPORUKA ODNOSI:</w:t>
      </w:r>
    </w:p>
    <w:p w:rsidR="00D04F01" w:rsidP="2C3A3456" w:rsidRDefault="00D04F01" w14:paraId="07010554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električna energija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D361B3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uredski papir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FBEF38F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papirna konfekcija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B9281FA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sredstva za čišćenje i higijenu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E91232B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usluga čišćenja prostorija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0FF102C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računala i računalna oprema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41C42DF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toneri i tinte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B3E4B84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proizvodi od tiskanog papira, proizvodi od papira za pisanje i papirnate vrećice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6FE3CD02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promotivni materijali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13CBF90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oprema za snimanje, obradu i prikaz slike i televizori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628DB84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klima uređaji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1E341C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svjetiljke i električne žarulje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65F3BCC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vozila za cestovni promet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E85C61D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pneumatici za motorna vozila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6D0E51E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namještaj i građevinska stolarija i ostali građevinski elementi od drva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968DF10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prehrana i catering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742420E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– odjeća.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3ECD360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F75DDDF" w14:textId="7777777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 xml:space="preserve">preporuka 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KljučniH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 xml:space="preserve"> 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ciljevA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 xml:space="preserve"> i mjerila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7CD7F3E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provedbe zelene javne nabave i ugovaranja za predmete nabave ili grupu/e predmeta nabave moraju biti ispunjena sljedeća zelena mjerila i ciljevi: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1972F15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1. Električna energija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FF6365C" w14:textId="77777777" w14:noSpellErr="1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udio električne energije dobivene iz obnovljivih izvora od 1. siječnja 2025. godine mora iznositi najmanje 50 %, od 1. siječnja 2028. godine najmanje 60 %, a od 1. siječnja 2030. najmanje 65%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3903978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2. Uredski papir i proizvodi od papirne konfekcije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EF98676" w14:textId="77777777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uredski papir mora biti u skladu s mjerilima oznake za okoliš EU Ecolabel za grafički papir i ispunjavati uvjet o visokom sadržaju recikliranih vlakana, odnosno od 1. siječnja 2025. godine najmanje 15 % vlakana dolazi iz recikliranog materijala, od 1. siječnja 2028. godine najmanje 50 % vlakana dolazi iz recikliranog materijala, a od 1. siječnja 2030. godine 100 % vlakana dolazi iz recikliranog materijala. Mjerila oznake za okoliš EU Ecolabel za grafički papir dostupna su na hrvatskom jeziku na sljedećoj poveznici: </w:t>
      </w:r>
      <w:hyperlink r:id="Re7e086df1ee44876">
        <w:r w:rsidRPr="2C3A3456" w:rsidR="00D04F01">
          <w:rPr>
            <w:rStyle w:val="normaltextrun"/>
            <w:rFonts w:ascii="Aptos" w:hAnsi="Aptos" w:eastAsia="" w:cs="Segoe UI" w:eastAsiaTheme="majorEastAsia"/>
            <w:color w:val="auto"/>
            <w:sz w:val="20"/>
            <w:szCs w:val="20"/>
            <w:u w:val="single"/>
          </w:rPr>
          <w:t>https://environment.ec.europa.eu/topics/circular-economy/eu-ecolabel/product-groups-and-criteria/paper_en</w:t>
        </w:r>
      </w:hyperlink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5A83CDB" w14:textId="77777777" w14:noSpellErr="1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papirna konfekcija mora biti u skladu s mjerilima oznake za okoliš EU Ecolabel za upijajući papir i ispunjavati uvjet o visokom sadržaju recikliranih vlakana, odnosno od 1. siječnja 2025. godine najmanje 15 % vlakana dolazi iz recikliranog materijala, od 1. siječnja 2028. godine najmanje 50 % vlakana dolazi iz recikliranog materijala, a od 1. siječnja 2030. godine 100 % vlakana dolazi iz recikliranog materijala. Mjerila oznake za okoliš EU Ecolabel za upijajući papir dostupna su na hrvatskom jeziku na sljedećoj poveznici: </w:t>
      </w:r>
      <w:hyperlink r:id="R413b5097963d4d5a">
        <w:r w:rsidRPr="2C3A3456" w:rsidR="00D04F01">
          <w:rPr>
            <w:rStyle w:val="normaltextrun"/>
            <w:rFonts w:ascii="Aptos" w:hAnsi="Aptos" w:eastAsia="" w:cs="Segoe UI" w:eastAsiaTheme="majorEastAsia"/>
            <w:color w:val="auto"/>
            <w:sz w:val="20"/>
            <w:szCs w:val="20"/>
            <w:u w:val="single"/>
          </w:rPr>
          <w:t>https://environment.ec.europa.eu/topics/circular-economy/eu-ecolabel/product-groups-and-criteria/paper_en</w:t>
        </w:r>
      </w:hyperlink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23344D3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3. Sredstva za čišćenje i higijenu i usluge čišćenja prostorija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3E40D06" w14:textId="3F8878F9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sredstva za higijenu (sapun, šampon, regenerator, kreme, ulja, proizvodi za kosu, dekorativna kozmetika i dezodoransi/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antiperspiranti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), moraju biti u skladu s mjerilima oznake za okoliš EU Ecolabel za kozmetičke proizvode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.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Mjerila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oznake za okoliš EU Ecolabel za sredstva za higijenu dostupna su na hrvatskom jeziku na sljedećoj poveznici: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1635A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https://environment.ec.europa.eu/topics/circular-economy/eu-ecolabel/product-groups-and-criteria/personal-and-animal-care-products_en</w:t>
      </w:r>
    </w:p>
    <w:p w:rsidR="00D04F01" w:rsidP="2C3A3456" w:rsidRDefault="00D04F01" w14:paraId="7ED465C2" w14:textId="4C316A42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sredstva za čišćenje moraju biti u skladu s mjerilima oznake za okoliš EU Ecolabel za sredstva za čišćenje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.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Mjerila oznake za okoliš EU Ecolabel za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sredstva za čišćenje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dostupna su na hrvatskom jeziku na sljedećoj poveznici: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https://environment.ec.europa.eu/topics/circular-economy/eu-ecolabel/product-groups-and-criteria/cleaning_en</w:t>
      </w:r>
    </w:p>
    <w:p w:rsidR="00D04F01" w:rsidP="2C3A3456" w:rsidRDefault="00D04F01" w14:paraId="3550C7BA" w14:textId="720011EE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usluga čišćenja zatvorenih prostora mora biti u skladu s mjerilima oznake za okoliš EU Ecolabel za usluge čišćenja zatvorenih prostora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.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Mjerila oznake za okoliš EU Ecolabel za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usluge čišćenja 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dostupna su na hrvatskom jeziku na sljedećoj poveznici: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https://environment.ec.europa.eu/topics/circular-economy/eu-ecolabel/product-groups-and-criteria/cleaning_en</w:t>
      </w:r>
    </w:p>
    <w:p w:rsidR="2C3A3456" w:rsidRDefault="2C3A3456" w14:paraId="6458E764" w14:textId="0C75E06E">
      <w:r>
        <w:br w:type="page"/>
      </w:r>
    </w:p>
    <w:p w:rsidR="00D04F01" w:rsidP="2C3A3456" w:rsidRDefault="00D04F01" w14:paraId="770AF4F9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4. Računala i računalna oprema, toneri i tinte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A64DC74" w14:textId="77777777" w14:noSpellErr="1">
      <w:pPr>
        <w:pStyle w:val="paragraph"/>
        <w:numPr>
          <w:ilvl w:val="0"/>
          <w:numId w:val="7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računala, računalna oprema, monitori, pisači i fotokopirni uređaji moraju biti smješteni u najviši energetski razred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A6A52D8" w14:textId="77777777">
      <w:pPr>
        <w:pStyle w:val="paragraph"/>
        <w:numPr>
          <w:ilvl w:val="0"/>
          <w:numId w:val="8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osobna i prijenosna računala moraju biti u skladu s mjerilima oznake za okoliš EPEAT (Electronic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Product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Environmental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Assessment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Tool) ili jednakovrijedno.</w:t>
      </w:r>
      <w:r w:rsidRPr="2C3A3456" w:rsidR="00D04F01">
        <w:rPr>
          <w:rStyle w:val="normaltextrun"/>
          <w:rFonts w:eastAsia="" w:eastAsiaTheme="majorEastAsia"/>
          <w:color w:val="auto"/>
        </w:rPr>
        <w:t xml:space="preserve">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Više informacija o oznaci za okoliš EPEAT kao i registar proizvoda te mjerila, dostupni su na sljedećoj poveznici: </w:t>
      </w:r>
      <w:hyperlink r:id="R3e720c69f71e42a5">
        <w:r w:rsidRPr="2C3A3456" w:rsidR="00D04F01">
          <w:rPr>
            <w:rStyle w:val="normaltextrun"/>
            <w:rFonts w:ascii="Aptos" w:hAnsi="Aptos" w:eastAsia="" w:cs="Segoe UI" w:eastAsiaTheme="majorEastAsia"/>
            <w:color w:val="auto"/>
            <w:sz w:val="20"/>
            <w:szCs w:val="20"/>
            <w:u w:val="single"/>
          </w:rPr>
          <w:t>https://epeat.net/about-epeat</w:t>
        </w:r>
      </w:hyperlink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BF8CFF5" w14:textId="77777777" w14:noSpellErr="1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toneri i tinte moraju imati definiran kapacitet ispisa utvrđen primjenom odgovarajućih ISO normi ili jednakovrijedno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34EB948" w14:textId="77777777" w14:noSpellErr="1">
      <w:pPr>
        <w:pStyle w:val="paragraph"/>
        <w:numPr>
          <w:ilvl w:val="0"/>
          <w:numId w:val="10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toneri moraju biti proizvedeni na način koji omogućuje njihovo ponovno punjenje i ponovnu uporabu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E26B95F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5. Proizvodi od tiskanog papira, proizvodi od papira za pisanje i papirnate vrećice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EA276E3" w14:textId="39792926">
      <w:pPr>
        <w:pStyle w:val="paragraph"/>
        <w:numPr>
          <w:ilvl w:val="0"/>
          <w:numId w:val="11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od 1. siječnja 2026. godine najmanje 10 %, od 1. siječnja 2028. godine najmanje 20 %, a od 1. siječnja 2030. godine najmanje 40 % proizvoda od tiskanog papira, proizvoda od papira za pisanje i papirnate vrećice mora biti u skladu s mjerilima oznake za okoliš EU Ecolabel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.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Mjerila oznake za okoliš EU Ecolabel za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proizvode od tiskanog papira,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proizvode od papira za pisanje i papirnate vrećice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dostupna su na hrvatskom jeziku na sljedećoj poveznici: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 xml:space="preserve"> </w:t>
      </w:r>
      <w:r w:rsidRPr="2C3A3456" w:rsidR="001635A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https://environment.ec.europa.eu/topics/circular-economy/eu-ecolabel/product-groups-and-criteria/paper_en</w:t>
      </w:r>
    </w:p>
    <w:p w:rsidR="00D04F01" w:rsidP="2C3A3456" w:rsidRDefault="00D04F01" w14:paraId="29B7B94F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6. Oprema za snimanje, obradu i prikaz slike i televizori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84CD32F" w14:textId="77777777" w14:noSpellErr="1">
      <w:pPr>
        <w:pStyle w:val="paragraph"/>
        <w:numPr>
          <w:ilvl w:val="0"/>
          <w:numId w:val="12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nabave pisača i fotokopirnih uređaja, minimalno 10 % kvantitativnog kriterija za odabir ekonomski najpovoljnije ponude daje se za uređaje pogodne za uporabu papira koji sadrži 100 % recikliranih vlakana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64E707E" w14:textId="77777777" w14:noSpellErr="1">
      <w:pPr>
        <w:pStyle w:val="paragraph"/>
        <w:numPr>
          <w:ilvl w:val="0"/>
          <w:numId w:val="13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oprema za snimanje, obradu i prikaz slike i televizora moraju biti iz energetskog razreda ne manjeg od E+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A3E5104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7. Promotivni materijali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3B6C59F" w14:textId="77777777" w14:noSpellErr="1">
      <w:pPr>
        <w:pStyle w:val="paragraph"/>
        <w:numPr>
          <w:ilvl w:val="0"/>
          <w:numId w:val="14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promotivni materijali ne smiju biti pakirani u plastičnoj ambalaži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65C81CF5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8. Klima uređaji , električne žarulje i svjetiljke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90BC5AF" w14:textId="77777777" w14:noSpellErr="1">
      <w:pPr>
        <w:pStyle w:val="paragraph"/>
        <w:numPr>
          <w:ilvl w:val="0"/>
          <w:numId w:val="15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svi klima uređaji moraju biti iz energetskog razreda ne manjeg od A+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63ABACE1" w14:textId="77777777" w14:noSpellErr="1">
      <w:pPr>
        <w:pStyle w:val="paragraph"/>
        <w:numPr>
          <w:ilvl w:val="0"/>
          <w:numId w:val="16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udio nabave električnih žarulja razvrstanih u najviši energetski razred dostupan na tržištu od 1. siječnja 2025. godine iznosi najmanje 50 %, od 1. siječnja 2028. godine iznosi najmanje 70 %,</w:t>
      </w:r>
      <w:r w:rsidRPr="2C3A3456" w:rsidR="00D04F01">
        <w:rPr>
          <w:rStyle w:val="normaltextrun"/>
          <w:rFonts w:ascii="Arial" w:hAnsi="Arial" w:eastAsia="" w:cs="Arial" w:eastAsiaTheme="majorEastAsia"/>
          <w:color w:val="auto"/>
          <w:sz w:val="20"/>
          <w:szCs w:val="20"/>
        </w:rPr>
        <w:t> 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a od 1. sije</w:t>
      </w:r>
      <w:r w:rsidRPr="2C3A3456" w:rsidR="00D04F01">
        <w:rPr>
          <w:rStyle w:val="normaltextrun"/>
          <w:rFonts w:ascii="Aptos" w:hAnsi="Aptos" w:eastAsia="" w:cs="Aptos" w:eastAsiaTheme="majorEastAsia"/>
          <w:color w:val="auto"/>
          <w:sz w:val="20"/>
          <w:szCs w:val="20"/>
        </w:rPr>
        <w:t>č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nja 2030. godine iznosi najmanje 90 %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C141991" w14:textId="77777777" w14:noSpellErr="1">
      <w:pPr>
        <w:pStyle w:val="paragraph"/>
        <w:numPr>
          <w:ilvl w:val="0"/>
          <w:numId w:val="17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udio nabave svjetiljki, koje dopuštaju uporabu električnih žarulja razvrstanih u najviši energetski razred dostupnih na tržištu iznosi najmanje 90 % u svakoj godini provedbe ove Odluke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A25A3BF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9. Vozila za cestovni promet i pneumatici za motorna vozila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107A895" w14:textId="77777777" w14:noSpellErr="1">
      <w:pPr>
        <w:pStyle w:val="paragraph"/>
        <w:numPr>
          <w:ilvl w:val="0"/>
          <w:numId w:val="18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udio čistih i energetski učinkovitih vozila za cestovni promet, osim vozila koja se nabavljaju za potrebe civilne zaštite, vatrogasnih službi, snaga za održavanje javnog reda i vozila vojne namjene, prema kategorijama vozila, iznosi kako je utvrđeno člankom 4. Pravilnika o obvezi izvješćivanja Europskoj komisiji i minimalnim ciljevima u postupcima javne nabave vozila za cestovni prijevoz (Narodne novine, broj 86/21). 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DDB3FEF" w14:textId="77777777" w14:noSpellErr="1">
      <w:pPr>
        <w:pStyle w:val="paragraph"/>
        <w:numPr>
          <w:ilvl w:val="0"/>
          <w:numId w:val="19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od 1. siječnja 2025. godine najmanje 30 %, od 1. siječnja 2028. godine najmanje 50 % pneumatika, a od 1. siječnja 2030. godine najmanje 70% pneumatika mora biti razvrstano u najviši energetski razred prema potrošnji goriva za pneumatike za koje je to primjenjivo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F308B91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10. Namještaj i građevinska stolarija i ostali građevinski elementi od drva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467080E" w14:textId="77777777">
      <w:pPr>
        <w:pStyle w:val="paragraph"/>
        <w:numPr>
          <w:ilvl w:val="0"/>
          <w:numId w:val="20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od 1. siječnja 2025. godine udio drva u namještaju iznosi najmanje 20 %, od 1. siječnja 2028. godine najmanje 30 % a od 1. siječnja 2030. godine najmanje 50 % volumena materijala od kojih je namještaj izrađen, osim ako to propisom ili namjenom uporabe nije zabranjeno ili onemogućeno s tim da ima dokazanu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sljedivost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, odnosno FSC, PEFC i/ili drugi međunarodno priznati certifikati koji jamče da je drvo dobiveno iz održivo gospodarenih šuma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FACB469" w14:textId="77777777">
      <w:pPr>
        <w:pStyle w:val="paragraph"/>
        <w:numPr>
          <w:ilvl w:val="0"/>
          <w:numId w:val="21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dokazana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sljedivost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za građevinsku stolariju i ostale građevinske elemente izrađene od drva odnosno FSC, PEFC i/ili drugi međunarodno priznati certifikati koji jamče da je drvo dobiveno iz održivo gospodarenih šuma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F920A3F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11. Prehrana i catering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09FCE29" w14:textId="77777777" w14:noSpellErr="1">
      <w:pPr>
        <w:pStyle w:val="paragraph"/>
        <w:numPr>
          <w:ilvl w:val="0"/>
          <w:numId w:val="22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nabave prehrane i usluge cateringa voće i povrće ne smije se nabavljati u jednokratnoj plastičnoj ambalaži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DB4A201" w14:textId="77777777" w14:noSpellErr="1">
      <w:pPr>
        <w:pStyle w:val="paragraph"/>
        <w:numPr>
          <w:ilvl w:val="0"/>
          <w:numId w:val="23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nabave usluge cateringa hrana i piće moraju biti servirani u višekratnoj ponovno upotrebljivoj ambalaži i ponuditelj usluge cateringa mora dostaviti plan smanjenja i nastanka otpada od pripreme hrane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5B7F985" w14:textId="77777777" w14:noSpellErr="1">
      <w:pPr>
        <w:pStyle w:val="paragraph"/>
        <w:numPr>
          <w:ilvl w:val="0"/>
          <w:numId w:val="24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nabave prehrane i usluge cateringa 80 % pića mora biti u višekratnoj ponovno upotrebljivoj ambalaži, a ostalih 20 % može biti u jednokratnoj ambalaži koja ne smije biti od plastike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DEC5881" w14:textId="77777777">
      <w:pPr>
        <w:pStyle w:val="paragraph"/>
        <w:numPr>
          <w:ilvl w:val="0"/>
          <w:numId w:val="25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od 1. siječnja 2025. godine najmanje 10 %, od 1. siječnja 2028. godine najmanje 20 %, a od 1. siječnja 2030. godine najmanje 30 % mora biti ekološki i/ili integrirani poljoprivredni i prehrambeni proizvod, i/ili proizvod iz sustava kvalitete registriran na nacionalnoj i europskoj razini i/ili proizvod iz kratkog lanca opskrbe hranom (nabava hrane od lokalnih proizvođača kako bi se smanjile emisije od transporta te ujedno potaknulo lokalno gospodarstvo), s naglaskom na 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sezonalnost</w:t>
      </w: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i svježinu poljoprivrednih i prehrambenih proizvoda nad drugim proizvodima te skupine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F0C29FF" w14:textId="77777777" w14:noSpellErr="1">
      <w:pPr>
        <w:pStyle w:val="paragraph"/>
        <w:numPr>
          <w:ilvl w:val="0"/>
          <w:numId w:val="26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ponuditelj mora najmanje 50 % prehrambenih proizvoda ponuditi iz vlastite proizvodnje ili najmanje 50 % od mikro, malih i srednjih poljoprivrednih proizvođača. Ova dva kriterija se mogu zbrajati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70B4135F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olor w:val="auto"/>
          <w:sz w:val="20"/>
          <w:szCs w:val="20"/>
        </w:rPr>
        <w:t>12. Odjeća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47580764" w14:textId="77777777" w14:noSpellErr="1">
      <w:pPr>
        <w:pStyle w:val="paragraph"/>
        <w:numPr>
          <w:ilvl w:val="0"/>
          <w:numId w:val="27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odjeća od pamuka od 1. siječnja 2025. godine treba imati u sastavu najmanje 60 %, a od 1. siječnja 2030. godine najmanje 80 % organskog pamuka uzgojenog u skladu s relevantnim normama.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720661D" w14:textId="7777777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 xml:space="preserve">PREPORUKA Dodatnih 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aspekATA</w:t>
      </w: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 xml:space="preserve"> zaštite okoliša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0FA37C2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Ovom preporukom su također predviđeni dodatni aspekti zaštite okoliša u svim nabavama koje nisu posebno navedene. U tom slučaju naručitelji se pozivaju da, ako je primjenjivo, uključe jedan ili više aspekata zaštite okoliša, gdje je to moguće: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A39E36C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9D666D4" w14:textId="77777777" w14:noSpellErr="1">
      <w:pPr>
        <w:pStyle w:val="paragraph"/>
        <w:numPr>
          <w:ilvl w:val="0"/>
          <w:numId w:val="28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energetsku učinkovitost i korištenje obnovljivih ili drugih alternativnih izvora energije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01337629" w14:textId="77777777" w14:noSpellErr="1">
      <w:pPr>
        <w:pStyle w:val="paragraph"/>
        <w:numPr>
          <w:ilvl w:val="0"/>
          <w:numId w:val="29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učinkovito i ponovno korištenje vode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E48BDA4" w14:textId="77777777" w14:noSpellErr="1">
      <w:pPr>
        <w:pStyle w:val="paragraph"/>
        <w:numPr>
          <w:ilvl w:val="0"/>
          <w:numId w:val="30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učinkovito korištenje drugih resursa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79FFFA4" w14:textId="77777777" w14:noSpellErr="1">
      <w:pPr>
        <w:pStyle w:val="paragraph"/>
        <w:numPr>
          <w:ilvl w:val="0"/>
          <w:numId w:val="31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sprječavanje prijetnji zdravlju ili okolišu, posebice onečišćenju zraka, vode i tla, kao i opterećenje okoliša umjetnim izvorima svjetlosti te smanjenje bioraznolikosti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01F0B5D" w14:textId="77777777" w14:noSpellErr="1">
      <w:pPr>
        <w:pStyle w:val="paragraph"/>
        <w:numPr>
          <w:ilvl w:val="0"/>
          <w:numId w:val="32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učinkovitu uporabu sekundarnih sirovina dobivenih iz otpada te sprječavanje i smanjenje nastanka otpada kroz pripremu za ponovnu uporabu i recikliranje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203A33D" w14:textId="77777777" w14:noSpellErr="1">
      <w:pPr>
        <w:pStyle w:val="paragraph"/>
        <w:numPr>
          <w:ilvl w:val="0"/>
          <w:numId w:val="33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promicanje uporabe proizvoda koji se mogu koristiti višekratno umjesto jednokratno, koji su duljeg vijeka trajanja i podesni su za popravak, uključujući proizvode koji sadrže reciklirane materijale i koji su, kada postanu otpad, pogodni za pripremu za ponovnu uporabu i recikliranje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309A1455" w14:textId="77777777" w14:noSpellErr="1">
      <w:pPr>
        <w:pStyle w:val="paragraph"/>
        <w:numPr>
          <w:ilvl w:val="0"/>
          <w:numId w:val="34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okolišno upravljanje organizacija koje je u skladu s EMAS-om ili ISO normom 14001 o upravljanju okolišem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20ACB0F" w14:textId="77777777" w14:noSpellErr="1">
      <w:pPr>
        <w:pStyle w:val="paragraph"/>
        <w:numPr>
          <w:ilvl w:val="0"/>
          <w:numId w:val="35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Aptos" w:hAnsi="Aptos" w:cs="Segoe UI"/>
          <w:color w:val="auto"/>
          <w:sz w:val="20"/>
          <w:szCs w:val="20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prilikom nabave promotivnih materijala davati prednost materijalima koji nisu od plastike.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31CD18C" w14:textId="77777777" w14:noSpellErr="1">
      <w:pPr>
        <w:pStyle w:val="paragraph"/>
        <w:pBdr>
          <w:top w:val="single" w:color="156082" w:sz="6" w:space="2"/>
        </w:pBdr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b w:val="1"/>
          <w:bCs w:val="1"/>
          <w:caps w:val="1"/>
          <w:color w:val="auto"/>
          <w:sz w:val="20"/>
          <w:szCs w:val="20"/>
        </w:rPr>
        <w:t>SREDIŠNJE mjesto za informacije o provedbi zelene javne nabave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39FAC31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hyperlink r:id="R2b73a5f4d58d4ff3">
        <w:r w:rsidRPr="2C3A3456" w:rsidR="00D04F01">
          <w:rPr>
            <w:rStyle w:val="normaltextrun"/>
            <w:rFonts w:ascii="Aptos" w:hAnsi="Aptos" w:eastAsia="" w:cs="Segoe UI" w:eastAsiaTheme="majorEastAsia"/>
            <w:color w:val="auto"/>
            <w:sz w:val="20"/>
            <w:szCs w:val="20"/>
            <w:u w:val="single"/>
          </w:rPr>
          <w:t>www.zelenanabava.hr</w:t>
        </w:r>
      </w:hyperlink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2F9DC6D1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>Kako bi primjena zelene javne nabave bila olakšana, Ministarstvo zaštite okoliša i zelene tranzicije će tijekom 2025. godine provoditi izobrazbu o provedbi zelene javne nabave. 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52E112CC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Također, preporučamo nacionalnu mrežnu stranicu za zelenu javnu nabavu </w:t>
      </w:r>
      <w:hyperlink r:id="R6e11648a1a7b49b3">
        <w:r w:rsidRPr="2C3A3456" w:rsidR="00D04F01">
          <w:rPr>
            <w:rStyle w:val="normaltextrun"/>
            <w:rFonts w:ascii="Aptos" w:hAnsi="Aptos" w:eastAsia="" w:cs="Segoe UI" w:eastAsiaTheme="majorEastAsia"/>
            <w:color w:val="auto"/>
            <w:sz w:val="20"/>
            <w:szCs w:val="20"/>
            <w:u w:val="single"/>
          </w:rPr>
          <w:t>www.zelenanabava.hr</w:t>
        </w:r>
      </w:hyperlink>
      <w:r w:rsidRPr="2C3A3456" w:rsidR="00D04F01">
        <w:rPr>
          <w:rStyle w:val="normaltextrun"/>
          <w:rFonts w:ascii="Aptos" w:hAnsi="Aptos" w:eastAsia="" w:cs="Segoe UI" w:eastAsiaTheme="majorEastAsia"/>
          <w:color w:val="auto"/>
          <w:sz w:val="20"/>
          <w:szCs w:val="20"/>
        </w:rPr>
        <w:t xml:space="preserve"> kao referentnu stranicu za informacije, primjere dobre prakse i edukativne sadržaje. Na stranici će se redovito objavljivati sve novosti, vodiči i upute, olakšavajući javnim naručiteljima primjenu zelene javne nabave u Hrvatskoj.</w:t>
      </w:r>
      <w:r w:rsidRPr="2C3A3456" w:rsidR="00D04F01">
        <w:rPr>
          <w:rStyle w:val="eop"/>
          <w:rFonts w:ascii="Aptos" w:hAnsi="Aptos" w:eastAsia="" w:cs="Segoe UI" w:eastAsiaTheme="majorEastAsia"/>
          <w:color w:val="auto"/>
          <w:sz w:val="20"/>
          <w:szCs w:val="20"/>
        </w:rPr>
        <w:t> </w:t>
      </w:r>
    </w:p>
    <w:p w:rsidR="00D04F01" w:rsidP="2C3A3456" w:rsidRDefault="00D04F01" w14:paraId="1F9AF1E8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eop"/>
          <w:rFonts w:eastAsia="" w:eastAsiaTheme="majorEastAsia"/>
          <w:color w:val="auto"/>
        </w:rPr>
        <w:t> </w:t>
      </w:r>
    </w:p>
    <w:p w:rsidR="00D04F01" w:rsidP="2C3A3456" w:rsidRDefault="00D04F01" w14:paraId="163F03F0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2C3A3456" w:rsidR="00D04F01">
        <w:rPr>
          <w:rStyle w:val="eop"/>
          <w:rFonts w:eastAsia="" w:eastAsiaTheme="majorEastAsia"/>
          <w:color w:val="auto"/>
        </w:rPr>
        <w:t> </w:t>
      </w:r>
    </w:p>
    <w:p w:rsidR="0003003D" w:rsidP="2C3A3456" w:rsidRDefault="0003003D" w14:paraId="49E58320" w14:textId="77777777" w14:noSpellErr="1">
      <w:pPr>
        <w:rPr>
          <w:color w:val="auto"/>
        </w:rPr>
      </w:pPr>
    </w:p>
    <w:sectPr w:rsidR="0003003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EC6"/>
    <w:multiLevelType w:val="multilevel"/>
    <w:tmpl w:val="C7DCC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68B235B"/>
    <w:multiLevelType w:val="multilevel"/>
    <w:tmpl w:val="0FF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CA66EE"/>
    <w:multiLevelType w:val="multilevel"/>
    <w:tmpl w:val="11DC8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D1F1379"/>
    <w:multiLevelType w:val="multilevel"/>
    <w:tmpl w:val="9A22A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D522770"/>
    <w:multiLevelType w:val="multilevel"/>
    <w:tmpl w:val="6A1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DC3339F"/>
    <w:multiLevelType w:val="multilevel"/>
    <w:tmpl w:val="0CC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E5C21F6"/>
    <w:multiLevelType w:val="multilevel"/>
    <w:tmpl w:val="051A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0775EEF"/>
    <w:multiLevelType w:val="multilevel"/>
    <w:tmpl w:val="8972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0FA7822"/>
    <w:multiLevelType w:val="multilevel"/>
    <w:tmpl w:val="F02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56754EF"/>
    <w:multiLevelType w:val="multilevel"/>
    <w:tmpl w:val="2BF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74B555C"/>
    <w:multiLevelType w:val="multilevel"/>
    <w:tmpl w:val="E648F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18E41F28"/>
    <w:multiLevelType w:val="multilevel"/>
    <w:tmpl w:val="E57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FFF3348"/>
    <w:multiLevelType w:val="multilevel"/>
    <w:tmpl w:val="06F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31D4AA5"/>
    <w:multiLevelType w:val="multilevel"/>
    <w:tmpl w:val="A18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5200626"/>
    <w:multiLevelType w:val="multilevel"/>
    <w:tmpl w:val="2EB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57A733B"/>
    <w:multiLevelType w:val="multilevel"/>
    <w:tmpl w:val="DB6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8812A48"/>
    <w:multiLevelType w:val="multilevel"/>
    <w:tmpl w:val="991E8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2EDD1072"/>
    <w:multiLevelType w:val="multilevel"/>
    <w:tmpl w:val="1C4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06C4BE6"/>
    <w:multiLevelType w:val="multilevel"/>
    <w:tmpl w:val="0D8E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D261E99"/>
    <w:multiLevelType w:val="multilevel"/>
    <w:tmpl w:val="0DA84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4360A76"/>
    <w:multiLevelType w:val="multilevel"/>
    <w:tmpl w:val="0810A8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49C003B4"/>
    <w:multiLevelType w:val="multilevel"/>
    <w:tmpl w:val="A1B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B5A0FFF"/>
    <w:multiLevelType w:val="multilevel"/>
    <w:tmpl w:val="C67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CB45BB"/>
    <w:multiLevelType w:val="multilevel"/>
    <w:tmpl w:val="C70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A1646B"/>
    <w:multiLevelType w:val="multilevel"/>
    <w:tmpl w:val="531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20C5386"/>
    <w:multiLevelType w:val="multilevel"/>
    <w:tmpl w:val="04E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DC234D8"/>
    <w:multiLevelType w:val="multilevel"/>
    <w:tmpl w:val="12A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E01167C"/>
    <w:multiLevelType w:val="multilevel"/>
    <w:tmpl w:val="865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20E0E08"/>
    <w:multiLevelType w:val="multilevel"/>
    <w:tmpl w:val="EC7C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32725C5"/>
    <w:multiLevelType w:val="multilevel"/>
    <w:tmpl w:val="84A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4222AC3"/>
    <w:multiLevelType w:val="multilevel"/>
    <w:tmpl w:val="87BE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6D07EA7"/>
    <w:multiLevelType w:val="multilevel"/>
    <w:tmpl w:val="4F803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6EE05248"/>
    <w:multiLevelType w:val="multilevel"/>
    <w:tmpl w:val="96C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FA13C6F"/>
    <w:multiLevelType w:val="multilevel"/>
    <w:tmpl w:val="637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4750136"/>
    <w:multiLevelType w:val="multilevel"/>
    <w:tmpl w:val="303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39560114">
    <w:abstractNumId w:val="21"/>
  </w:num>
  <w:num w:numId="2" w16cid:durableId="1517112205">
    <w:abstractNumId w:val="17"/>
  </w:num>
  <w:num w:numId="3" w16cid:durableId="300817544">
    <w:abstractNumId w:val="18"/>
  </w:num>
  <w:num w:numId="4" w16cid:durableId="1896045300">
    <w:abstractNumId w:val="34"/>
  </w:num>
  <w:num w:numId="5" w16cid:durableId="1350450564">
    <w:abstractNumId w:val="30"/>
  </w:num>
  <w:num w:numId="6" w16cid:durableId="1001616182">
    <w:abstractNumId w:val="22"/>
  </w:num>
  <w:num w:numId="7" w16cid:durableId="841434002">
    <w:abstractNumId w:val="23"/>
  </w:num>
  <w:num w:numId="8" w16cid:durableId="828638996">
    <w:abstractNumId w:val="11"/>
  </w:num>
  <w:num w:numId="9" w16cid:durableId="227612417">
    <w:abstractNumId w:val="24"/>
  </w:num>
  <w:num w:numId="10" w16cid:durableId="1754932081">
    <w:abstractNumId w:val="1"/>
  </w:num>
  <w:num w:numId="11" w16cid:durableId="1178229452">
    <w:abstractNumId w:val="25"/>
  </w:num>
  <w:num w:numId="12" w16cid:durableId="42026667">
    <w:abstractNumId w:val="26"/>
  </w:num>
  <w:num w:numId="13" w16cid:durableId="127357379">
    <w:abstractNumId w:val="32"/>
  </w:num>
  <w:num w:numId="14" w16cid:durableId="831918613">
    <w:abstractNumId w:val="8"/>
  </w:num>
  <w:num w:numId="15" w16cid:durableId="1789397440">
    <w:abstractNumId w:val="9"/>
  </w:num>
  <w:num w:numId="16" w16cid:durableId="480853494">
    <w:abstractNumId w:val="12"/>
  </w:num>
  <w:num w:numId="17" w16cid:durableId="515115375">
    <w:abstractNumId w:val="13"/>
  </w:num>
  <w:num w:numId="18" w16cid:durableId="550386837">
    <w:abstractNumId w:val="6"/>
  </w:num>
  <w:num w:numId="19" w16cid:durableId="1267807518">
    <w:abstractNumId w:val="5"/>
  </w:num>
  <w:num w:numId="20" w16cid:durableId="634336150">
    <w:abstractNumId w:val="27"/>
  </w:num>
  <w:num w:numId="21" w16cid:durableId="238175909">
    <w:abstractNumId w:val="4"/>
  </w:num>
  <w:num w:numId="22" w16cid:durableId="1358123558">
    <w:abstractNumId w:val="29"/>
  </w:num>
  <w:num w:numId="23" w16cid:durableId="1893810326">
    <w:abstractNumId w:val="15"/>
  </w:num>
  <w:num w:numId="24" w16cid:durableId="508757964">
    <w:abstractNumId w:val="7"/>
  </w:num>
  <w:num w:numId="25" w16cid:durableId="531840918">
    <w:abstractNumId w:val="14"/>
  </w:num>
  <w:num w:numId="26" w16cid:durableId="2103212995">
    <w:abstractNumId w:val="33"/>
  </w:num>
  <w:num w:numId="27" w16cid:durableId="349455585">
    <w:abstractNumId w:val="28"/>
  </w:num>
  <w:num w:numId="28" w16cid:durableId="1161389995">
    <w:abstractNumId w:val="16"/>
  </w:num>
  <w:num w:numId="29" w16cid:durableId="1478762514">
    <w:abstractNumId w:val="31"/>
  </w:num>
  <w:num w:numId="30" w16cid:durableId="285356877">
    <w:abstractNumId w:val="20"/>
  </w:num>
  <w:num w:numId="31" w16cid:durableId="720445497">
    <w:abstractNumId w:val="19"/>
  </w:num>
  <w:num w:numId="32" w16cid:durableId="8994345">
    <w:abstractNumId w:val="3"/>
  </w:num>
  <w:num w:numId="33" w16cid:durableId="1752654928">
    <w:abstractNumId w:val="2"/>
  </w:num>
  <w:num w:numId="34" w16cid:durableId="649557883">
    <w:abstractNumId w:val="0"/>
  </w:num>
  <w:num w:numId="35" w16cid:durableId="702558941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1"/>
    <w:rsid w:val="0003003D"/>
    <w:rsid w:val="001409D4"/>
    <w:rsid w:val="001635A1"/>
    <w:rsid w:val="003F56C8"/>
    <w:rsid w:val="004010BD"/>
    <w:rsid w:val="004273E1"/>
    <w:rsid w:val="005A38A3"/>
    <w:rsid w:val="00686554"/>
    <w:rsid w:val="00893CEA"/>
    <w:rsid w:val="00AB1770"/>
    <w:rsid w:val="00B97A5A"/>
    <w:rsid w:val="00D04F01"/>
    <w:rsid w:val="00F00735"/>
    <w:rsid w:val="2C3A3456"/>
    <w:rsid w:val="63E49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E83A"/>
  <w15:chartTrackingRefBased/>
  <w15:docId w15:val="{757C55C2-EEA3-4875-9217-C731B0D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4F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F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D04F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D04F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D04F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D04F01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D04F01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D04F01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D04F01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D04F01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D04F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F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D04F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D0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F01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D04F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F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4F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F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D04F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F0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04F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wacimagecontainer" w:customStyle="1">
    <w:name w:val="wacimagecontainer"/>
    <w:basedOn w:val="Zadanifontodlomka"/>
    <w:rsid w:val="00D04F01"/>
  </w:style>
  <w:style w:type="character" w:styleId="eop" w:customStyle="1">
    <w:name w:val="eop"/>
    <w:basedOn w:val="Zadanifontodlomka"/>
    <w:rsid w:val="00D04F01"/>
  </w:style>
  <w:style w:type="character" w:styleId="normaltextrun" w:customStyle="1">
    <w:name w:val="normaltextrun"/>
    <w:basedOn w:val="Zadanifontodlomka"/>
    <w:rsid w:val="00D04F01"/>
  </w:style>
  <w:style w:type="paragraph" w:styleId="Revizija">
    <w:name w:val="Revision"/>
    <w:hidden/>
    <w:uiPriority w:val="99"/>
    <w:semiHidden/>
    <w:rsid w:val="00D04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image" Target="/media/image2.png" Id="R7287a53026eb410c" /><Relationship Type="http://schemas.openxmlformats.org/officeDocument/2006/relationships/hyperlink" Target="https://environment.ec.europa.eu/topics/circular-economy/eu-ecolabel/product-groups-and-criteria/paper_en" TargetMode="External" Id="Re7e086df1ee44876" /><Relationship Type="http://schemas.openxmlformats.org/officeDocument/2006/relationships/hyperlink" Target="https://environment.ec.europa.eu/topics/circular-economy/eu-ecolabel/product-groups-and-criteria/paper_en" TargetMode="External" Id="R413b5097963d4d5a" /><Relationship Type="http://schemas.openxmlformats.org/officeDocument/2006/relationships/hyperlink" Target="https://epeat.net/about-epeat" TargetMode="External" Id="R3e720c69f71e42a5" /><Relationship Type="http://schemas.openxmlformats.org/officeDocument/2006/relationships/hyperlink" Target="http://www.zelenanabava.hr/" TargetMode="External" Id="R2b73a5f4d58d4ff3" /><Relationship Type="http://schemas.openxmlformats.org/officeDocument/2006/relationships/hyperlink" Target="http://www.zelenanabava.hr/" TargetMode="External" Id="R6e11648a1a7b49b3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26C6D21D4D648AE2364D4A282ABA5" ma:contentTypeVersion="16" ma:contentTypeDescription="Stvaranje novog dokumenta." ma:contentTypeScope="" ma:versionID="186ce68c53342c74313e74d36740c0b9">
  <xsd:schema xmlns:xsd="http://www.w3.org/2001/XMLSchema" xmlns:xs="http://www.w3.org/2001/XMLSchema" xmlns:p="http://schemas.microsoft.com/office/2006/metadata/properties" xmlns:ns2="a04f19d2-fb86-436a-a95a-ba7fa05e1c74" xmlns:ns3="cc5d4f57-8017-4813-ab60-603d025f55e2" targetNamespace="http://schemas.microsoft.com/office/2006/metadata/properties" ma:root="true" ma:fieldsID="4f8ef8e93717c9b4bde2fe8a87b18565" ns2:_="" ns3:_="">
    <xsd:import namespace="a04f19d2-fb86-436a-a95a-ba7fa05e1c74"/>
    <xsd:import namespace="cc5d4f57-8017-4813-ab60-603d025f55e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19d2-fb86-436a-a95a-ba7fa05e1c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389c2809-31ab-4d4d-95f3-60635464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d4f57-8017-4813-ab60-603d025f55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ff7624-ea61-47e0-b03e-81cfd55030f2}" ma:internalName="TaxCatchAll" ma:showField="CatchAllData" ma:web="cc5d4f57-8017-4813-ab60-603d025f5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5d4f57-8017-4813-ab60-603d025f55e2" xsi:nil="true"/>
    <lcf76f155ced4ddcb4097134ff3c332f xmlns="a04f19d2-fb86-436a-a95a-ba7fa05e1c74">
      <Terms xmlns="http://schemas.microsoft.com/office/infopath/2007/PartnerControls"/>
    </lcf76f155ced4ddcb4097134ff3c332f>
    <MigrationWizId xmlns="a04f19d2-fb86-436a-a95a-ba7fa05e1c74">63a715bb-6619-4fb9-b0e9-cc9dc4cfe90b</MigrationWizId>
    <MigrationWizIdPermissionLevels xmlns="a04f19d2-fb86-436a-a95a-ba7fa05e1c74" xsi:nil="true"/>
    <MigrationWizIdDocumentLibraryPermissions xmlns="a04f19d2-fb86-436a-a95a-ba7fa05e1c74" xsi:nil="true"/>
    <MigrationWizIdSecurityGroups xmlns="a04f19d2-fb86-436a-a95a-ba7fa05e1c74" xsi:nil="true"/>
    <MigrationWizIdVersion xmlns="a04f19d2-fb86-436a-a95a-ba7fa05e1c74">63a715bb-6619-4fb9-b0e9-cc9dc4cfe90b-638929175940000000</MigrationWizIdVersion>
    <MigrationWizIdPermissions xmlns="a04f19d2-fb86-436a-a95a-ba7fa05e1c74" xsi:nil="true"/>
  </documentManagement>
</p:properties>
</file>

<file path=customXml/itemProps1.xml><?xml version="1.0" encoding="utf-8"?>
<ds:datastoreItem xmlns:ds="http://schemas.openxmlformats.org/officeDocument/2006/customXml" ds:itemID="{0F8C3D14-FFCE-4B5E-8F04-4D5995EF3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BFFAF-E8C1-4760-BC5C-D11053606B92}"/>
</file>

<file path=customXml/itemProps3.xml><?xml version="1.0" encoding="utf-8"?>
<ds:datastoreItem xmlns:ds="http://schemas.openxmlformats.org/officeDocument/2006/customXml" ds:itemID="{440FAB0F-5E54-4169-BF4B-FD1AEFB73706}">
  <ds:schemaRefs>
    <ds:schemaRef ds:uri="http://schemas.openxmlformats.org/package/2006/metadata/core-properties"/>
    <ds:schemaRef ds:uri="49470e59-2922-4334-ba45-6c70dd1ed67a"/>
    <ds:schemaRef ds:uri="http://purl.org/dc/elements/1.1/"/>
    <ds:schemaRef ds:uri="http://purl.org/dc/dcmitype/"/>
    <ds:schemaRef ds:uri="http://schemas.microsoft.com/office/2006/documentManagement/types"/>
    <ds:schemaRef ds:uri="a4cdfe2c-b84b-4b3c-a560-ee6eb66ae5d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Fofić</dc:creator>
  <cp:keywords/>
  <dc:description/>
  <cp:lastModifiedBy>Barbara Fofić</cp:lastModifiedBy>
  <cp:revision>3</cp:revision>
  <dcterms:created xsi:type="dcterms:W3CDTF">2025-01-03T12:29:00Z</dcterms:created>
  <dcterms:modified xsi:type="dcterms:W3CDTF">2025-01-03T13:46:09Z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0x01010072626C6D21D4D648AE2364D4A282ABA5</vt:lpwstr>
  </property>
  <property fmtid="{D5CDD505-2E9C-101B-9397-08002B2CF9AE}" pid="3" name="MediaServiceImageTags">
    <vt:lpwstr/>
  </property>
</Properties>
</file>